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87" w:rsidRDefault="00033728">
      <w:pPr>
        <w:rPr>
          <w:rFonts w:ascii="Bradley Hand ITC" w:hAnsi="Bradley Hand ITC"/>
          <w:b/>
          <w:color w:val="00B050"/>
          <w:sz w:val="48"/>
          <w:szCs w:val="48"/>
          <w:lang w:val="en-US"/>
        </w:rPr>
      </w:pPr>
      <w:r w:rsidRPr="00033728">
        <w:rPr>
          <w:rFonts w:ascii="Bradley Hand ITC" w:hAnsi="Bradley Hand ITC"/>
          <w:b/>
          <w:color w:val="00B050"/>
          <w:sz w:val="48"/>
          <w:szCs w:val="48"/>
          <w:lang w:val="en-US"/>
        </w:rPr>
        <w:t>Safeguarding</w:t>
      </w:r>
    </w:p>
    <w:p w:rsidR="00033728" w:rsidRDefault="00033728">
      <w:pPr>
        <w:rPr>
          <w:rFonts w:ascii="Bradley Hand ITC" w:hAnsi="Bradley Hand ITC"/>
          <w:b/>
          <w:color w:val="00B050"/>
          <w:sz w:val="48"/>
          <w:szCs w:val="48"/>
          <w:lang w:val="en-US"/>
        </w:rPr>
      </w:pP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All </w:t>
      </w:r>
      <w:proofErr w:type="spellStart"/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Primary and Nursery </w:t>
      </w:r>
      <w:proofErr w:type="gramStart"/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School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Safeguarding</w:t>
      </w:r>
      <w:proofErr w:type="gram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and Child Protection Policies are updated annually. 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How we keep our children safe:</w:t>
      </w:r>
    </w:p>
    <w:p w:rsidR="00033728" w:rsidRPr="00033728" w:rsidRDefault="00033728" w:rsidP="00033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At </w:t>
      </w:r>
      <w:proofErr w:type="spellStart"/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we are committed to promoting the safeguarding and welfare of our children</w:t>
      </w:r>
    </w:p>
    <w:p w:rsidR="00033728" w:rsidRPr="00033728" w:rsidRDefault="00033728" w:rsidP="00033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Our Child Protection Policy explains how we work together to keep our children safe</w:t>
      </w:r>
    </w:p>
    <w:p w:rsidR="00033728" w:rsidRPr="00033728" w:rsidRDefault="00033728" w:rsidP="00033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Copies of thi</w:t>
      </w:r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s policy and other school policies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are available free of charge from our school office</w:t>
      </w:r>
    </w:p>
    <w:p w:rsidR="00033728" w:rsidRPr="00033728" w:rsidRDefault="00033728" w:rsidP="00033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Our designated Safeguarding Lead is </w:t>
      </w:r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Charlotte </w:t>
      </w:r>
      <w:proofErr w:type="spellStart"/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Willshire</w:t>
      </w:r>
      <w:proofErr w:type="spellEnd"/>
    </w:p>
    <w:p w:rsidR="00033728" w:rsidRPr="00033728" w:rsidRDefault="00033728" w:rsidP="00033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Our deputy designated Safeguarding Lead is </w:t>
      </w:r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Joanna Moore</w:t>
      </w:r>
    </w:p>
    <w:p w:rsidR="00033728" w:rsidRPr="00033728" w:rsidRDefault="00033728" w:rsidP="00033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Our lead governor with responsibility for safeguarding is </w:t>
      </w:r>
      <w:r w:rsidRPr="0064449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Carl Gilbertson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Please click on the </w:t>
      </w:r>
      <w:r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links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below to view our school safeguarding leaflet. This provides a summary of our policy and is given to all visitors on arrival at school.</w:t>
      </w:r>
    </w:p>
    <w:p w:rsidR="00033728" w:rsidRPr="00033728" w:rsidRDefault="0064449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</w:pPr>
      <w:proofErr w:type="spellStart"/>
      <w:r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Wellesbourne</w:t>
      </w:r>
      <w:proofErr w:type="spellEnd"/>
      <w:r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 xml:space="preserve"> Safeguarding Leaflet 2021</w:t>
      </w:r>
      <w:r w:rsidR="00E669EA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-22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You can also view our safeguarding information leaflet for parents/carers, Keeping Children safe in Education, which gives a further overview of our approach to keeping your child safe as well as our information leaflet about supporting your child to achieve excellent attendance.</w:t>
      </w:r>
    </w:p>
    <w:p w:rsidR="00033728" w:rsidRPr="00033728" w:rsidRDefault="00E669EA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</w:pPr>
      <w:proofErr w:type="spellStart"/>
      <w:r w:rsidRPr="00E669EA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 xml:space="preserve"> Keeping Children Safe in Education Leaflet 202</w:t>
      </w:r>
      <w:r w:rsidRPr="00E669EA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1-22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</w:pPr>
      <w:hyperlink r:id="rId5" w:tooltip="Supporting your child to achieve best attendance at WPS -  a leaflet for parents/carers" w:history="1"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Supporting your child t</w:t>
        </w:r>
        <w:r w:rsidR="00E669EA" w:rsidRPr="003F584C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 xml:space="preserve">o achieve best attendance at </w:t>
        </w:r>
        <w:proofErr w:type="spellStart"/>
        <w:r w:rsidR="00E669EA" w:rsidRPr="003F584C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Wellesbourne</w:t>
        </w:r>
        <w:proofErr w:type="spellEnd"/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 xml:space="preserve"> - a leaflet for parents/carers</w:t>
        </w:r>
      </w:hyperlink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Key people -  please click the </w:t>
      </w:r>
      <w:r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links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below to see the key members of staff responsible for safeguarding and child protection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lastRenderedPageBreak/>
        <w:t xml:space="preserve">at </w:t>
      </w:r>
      <w:proofErr w:type="spellStart"/>
      <w:r w:rsidR="003F584C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. You can also view our Child Policy and Code of Conduct for School </w:t>
      </w:r>
      <w:proofErr w:type="gramStart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Employees .</w:t>
      </w:r>
      <w:proofErr w:type="gramEnd"/>
    </w:p>
    <w:p w:rsidR="00033728" w:rsidRDefault="00033728" w:rsidP="001509C4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</w:pPr>
      <w:hyperlink r:id="rId6" w:tooltip="WPS Key People 2020-21" w:history="1">
        <w:proofErr w:type="spellStart"/>
        <w:r w:rsidR="003F584C" w:rsidRPr="003F584C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Wellesbourne</w:t>
        </w:r>
        <w:proofErr w:type="spellEnd"/>
        <w:r w:rsidR="003F584C" w:rsidRPr="003F584C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 xml:space="preserve"> Key People 2021</w:t>
        </w:r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-2</w:t>
        </w:r>
      </w:hyperlink>
      <w:r w:rsidR="003F584C" w:rsidRPr="003F584C"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  <w:t>2</w:t>
      </w:r>
    </w:p>
    <w:p w:rsidR="001509C4" w:rsidRPr="00033728" w:rsidRDefault="001509C4" w:rsidP="001509C4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proofErr w:type="spellStart"/>
      <w:r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  <w:t>Wellesbourne</w:t>
      </w:r>
      <w:proofErr w:type="spellEnd"/>
      <w:r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  <w:t xml:space="preserve"> Child Protection Policy 2021 - 22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</w:pPr>
      <w:hyperlink r:id="rId7" w:tooltip="WPS Code of Conduct for School Employees" w:history="1">
        <w:proofErr w:type="spellStart"/>
        <w:r w:rsidR="001509C4" w:rsidRPr="001509C4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Wellesbourne</w:t>
        </w:r>
        <w:proofErr w:type="spellEnd"/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 xml:space="preserve"> Code of Conduct for School Employees 202</w:t>
        </w:r>
        <w:r w:rsidR="001509C4" w:rsidRPr="001509C4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1</w:t>
        </w:r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lang w:eastAsia="en-GB"/>
          </w:rPr>
          <w:t>-2</w:t>
        </w:r>
      </w:hyperlink>
      <w:r w:rsidR="001509C4" w:rsidRPr="001509C4"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  <w:t>2</w:t>
      </w:r>
    </w:p>
    <w:p w:rsidR="00033728" w:rsidRPr="00033728" w:rsidRDefault="001509C4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The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Code of Conduct for School Employees is our Staff Handbook. This details how staff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fulfil</w:t>
      </w:r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the respon</w:t>
      </w: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sibilities of their roles as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employees.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 have developed a wider range of policies to ensure we provide a safe and secure learning environment for all our children. Paper copies of these polices can be provided free of charge by our school office.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These include: Emergency Evacuation and Lockdown Procedures, First Aid and Accident Procedure, Health and Safety Policy and a wide range of risk assessments.</w:t>
      </w:r>
    </w:p>
    <w:p w:rsidR="00033728" w:rsidRPr="00033728" w:rsidRDefault="001509C4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</w:t>
      </w:r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staff and governors attend annual safeguarding training and receive regular safeguarding updates throughout each academic year.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The Annual Child Protection training</w:t>
      </w:r>
      <w:r w:rsidR="001509C4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and update for </w:t>
      </w:r>
      <w:proofErr w:type="spellStart"/>
      <w:r w:rsidR="001509C4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staff</w:t>
      </w:r>
      <w:r w:rsidR="001509C4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took place on January 2021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The Designated Safeguarding Lead and Deputy are both fully trained to lead this role and attend full annual training </w:t>
      </w:r>
      <w:proofErr w:type="gramStart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additionally .</w:t>
      </w:r>
      <w:proofErr w:type="gramEnd"/>
    </w:p>
    <w:p w:rsidR="00F65872" w:rsidRDefault="001509C4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staff</w:t>
      </w:r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have participated in Prevent Strategy training. You can find further 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information about Prevent at </w:t>
      </w:r>
      <w:proofErr w:type="spellStart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by clicking on the following </w:t>
      </w:r>
      <w:r w:rsidR="00033728"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 </w:t>
      </w:r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and scrolling down the page. 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u w:val="single"/>
          <w:lang w:eastAsia="en-GB"/>
        </w:rPr>
        <w:t xml:space="preserve">Prevent at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u w:val="single"/>
          <w:lang w:eastAsia="en-GB"/>
        </w:rPr>
        <w:t>Wellesbourne</w:t>
      </w:r>
      <w:proofErr w:type="spellEnd"/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lastRenderedPageBreak/>
        <w:t>To ensure al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l staff appointed to work at </w:t>
      </w:r>
      <w:proofErr w:type="spellStart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are suitable and safe to work with our children we always apply safe safer recruitment practice.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The </w:t>
      </w:r>
      <w:proofErr w:type="spellStart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Headteacher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, Senior leaders and Governors have completed safer recruitment training.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staff receive a range of additional training and guidance that further enables them to maintain the safety of our children.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This </w:t>
      </w:r>
      <w:proofErr w:type="gramStart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includes :</w:t>
      </w:r>
      <w:proofErr w:type="gramEnd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Annual H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ealth and Safety Trai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ning, Fire Marshall, First Aid and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Educational Visits.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Safegu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arding within the </w:t>
      </w:r>
      <w:proofErr w:type="spellStart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Curriculum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Through our</w:t>
      </w:r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curriculum we teach our children about their own safety and continually share safe messages and information at every opportunity. This includes regular updates about online safety, maintaining personal safety, anti-bullying messages and equality work. We use guidance and information provided by the NSPCC to support our teaching of safe messages.</w:t>
      </w:r>
    </w:p>
    <w:p w:rsidR="00F65872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Please click on the </w:t>
      </w:r>
      <w:r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for inform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ation about online safety at </w:t>
      </w:r>
      <w:proofErr w:type="spellStart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. 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</w:pPr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 xml:space="preserve">Online Safety at </w:t>
      </w:r>
      <w:proofErr w:type="spellStart"/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Wellesbourne</w:t>
      </w:r>
      <w:proofErr w:type="spellEnd"/>
    </w:p>
    <w:p w:rsid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Our teaching of PSHE </w:t>
      </w:r>
      <w:proofErr w:type="gramStart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( Personal</w:t>
      </w:r>
      <w:proofErr w:type="gram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, Social  and Health Education) enables children to be taught about personal safety, hygiene, feelings, emotions and to maintain healthy lifestyles. This includes work about dental hygiene which is a local priority.</w:t>
      </w:r>
    </w:p>
    <w:p w:rsidR="00F65872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Please click on the </w:t>
      </w:r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 </w:t>
      </w: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to find out more about PSHE at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.</w:t>
      </w:r>
    </w:p>
    <w:p w:rsidR="00F65872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u w:val="single"/>
          <w:lang w:eastAsia="en-GB"/>
        </w:rPr>
      </w:pPr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 xml:space="preserve">PSHE at </w:t>
      </w:r>
      <w:proofErr w:type="spellStart"/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Wellesbourne</w:t>
      </w:r>
      <w:proofErr w:type="spellEnd"/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SMSC (Spiritual, moral, social and cultural education) themes and messages are taught across all subjects ensuring our children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lastRenderedPageBreak/>
        <w:t>develop a wider understanding of equality, develop empathy and a reflective approach to their daily lives.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Health and Development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Safeguarding is also defined as supporting the health and development of our children.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At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we promote the health and well-being of all our children in order to maximise their readiness to learn.</w:t>
      </w:r>
    </w:p>
    <w:p w:rsid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Through our broad curriculum we promote the spiritual, moral, cultural, mental and physical development of our children in order to prepare them for experiences, opportunities and responsibilities in later life.</w:t>
      </w:r>
    </w:p>
    <w:p w:rsidR="00F65872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Please click on the </w:t>
      </w:r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 </w:t>
      </w: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to find out more about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Wellbing</w:t>
      </w:r>
      <w:proofErr w:type="spellEnd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at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.</w:t>
      </w:r>
    </w:p>
    <w:p w:rsidR="00F65872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u w:val="single"/>
          <w:lang w:eastAsia="en-GB"/>
        </w:rPr>
      </w:pPr>
      <w:proofErr w:type="spellStart"/>
      <w:r w:rsidRPr="00F65872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u w:val="single"/>
          <w:lang w:eastAsia="en-GB"/>
        </w:rPr>
        <w:t>Wellbeing@Wellesbourne</w:t>
      </w:r>
      <w:proofErr w:type="spellEnd"/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To support the health needs of children with more serious medical conditions, school staff receive training and regular updates on:</w:t>
      </w:r>
    </w:p>
    <w:p w:rsidR="00033728" w:rsidRPr="00033728" w:rsidRDefault="00033728" w:rsidP="000337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Diabetes - monitoring blood sugar levels and ensuring they remain stable,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administering insulin injections, recording information for parents/carers</w:t>
      </w:r>
    </w:p>
    <w:p w:rsidR="00033728" w:rsidRPr="00033728" w:rsidRDefault="00033728" w:rsidP="000337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Asthma - Full procedures are outlined in our Asthma Policy document, care plans are clearly displayed in classrooms, pupils are allowed immediate (supervised) access to inhalers</w:t>
      </w:r>
    </w:p>
    <w:p w:rsidR="00033728" w:rsidRPr="00033728" w:rsidRDefault="00033728" w:rsidP="000337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Anaphylaxis/Allergies -  Epi-pen training,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practices reviewed regularly with class teachers, staff aware of allergens</w:t>
      </w:r>
    </w:p>
    <w:p w:rsidR="00033728" w:rsidRPr="00033728" w:rsidRDefault="00033728" w:rsidP="000337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Physical disabilities - Access arrangements are reviewed annually, please follow the </w:t>
      </w:r>
      <w:r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below to view our Accessibility Plan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70C0"/>
          <w:sz w:val="32"/>
          <w:szCs w:val="32"/>
          <w:u w:val="single"/>
          <w:lang w:eastAsia="en-GB"/>
        </w:rPr>
      </w:pPr>
      <w:hyperlink r:id="rId8" w:tooltip="WPS Accessibility Plan" w:history="1">
        <w:proofErr w:type="spellStart"/>
        <w:r w:rsidR="00F65872" w:rsidRPr="00F65872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>Wellesbourne</w:t>
        </w:r>
        <w:proofErr w:type="spellEnd"/>
        <w:r w:rsidR="00F65872" w:rsidRPr="00F65872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 xml:space="preserve"> </w:t>
        </w:r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>Accessibility Plan</w:t>
        </w:r>
      </w:hyperlink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Our School Nurse visits school regularly and is available to provide help and support for parents and carers through monthly drop in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lastRenderedPageBreak/>
        <w:t xml:space="preserve">sessions or by contacting her through 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our SENDCO Mrs C </w:t>
      </w:r>
      <w:proofErr w:type="spellStart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Willshire</w:t>
      </w:r>
      <w:proofErr w:type="spellEnd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– 0151 226 9765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Sex and Relationships Education 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</w:pPr>
      <w:r w:rsidRPr="00033728"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  <w:t>Children in Year Five and Six are taught the statutory requirements of the Science aspects of the National Curriculum.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</w:pPr>
      <w:r w:rsidRPr="00033728"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  <w:t>Children in Y6 take part in further work to ensure they are prepared for their KS 3 transition.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b/>
          <w:color w:val="00B050"/>
          <w:sz w:val="32"/>
          <w:szCs w:val="32"/>
          <w:lang w:eastAsia="en-GB"/>
        </w:rPr>
      </w:pPr>
      <w:r w:rsidRPr="00F65872"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  <w:t xml:space="preserve">During 2020 </w:t>
      </w:r>
      <w:proofErr w:type="spellStart"/>
      <w:r w:rsidRPr="00F65872"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color w:val="00B050"/>
          <w:sz w:val="32"/>
          <w:szCs w:val="32"/>
          <w:highlight w:val="yellow"/>
          <w:lang w:eastAsia="en-GB"/>
        </w:rPr>
        <w:t xml:space="preserve"> staff trained for the introduction of a new school S&amp;R scheme of work.</w:t>
      </w:r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Educational Visits at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</w:p>
    <w:p w:rsidR="00033728" w:rsidRPr="00033728" w:rsidRDefault="00F65872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Children at </w:t>
      </w: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take part in a range of educational trips and visits throughout</w:t>
      </w:r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the school year. Children in Y5</w:t>
      </w:r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&amp; Y6 attend residential trips.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Miss </w:t>
      </w:r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K </w:t>
      </w:r>
      <w:proofErr w:type="spellStart"/>
      <w:proofErr w:type="gramStart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Toole</w:t>
      </w:r>
      <w:proofErr w:type="spellEnd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 -</w:t>
      </w:r>
      <w:proofErr w:type="gramEnd"/>
      <w:r w:rsidR="00F65872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</w:t>
      </w:r>
      <w:r w:rsidR="00927F23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is the </w:t>
      </w:r>
      <w:proofErr w:type="spellStart"/>
      <w:r w:rsidR="00927F23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EVC (Educational Visits Co-ordinator) and attends annual training to support this role.</w:t>
      </w:r>
    </w:p>
    <w:p w:rsidR="00033728" w:rsidRPr="00033728" w:rsidRDefault="00927F23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proofErr w:type="spellStart"/>
      <w:r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Wellesbourne</w:t>
      </w:r>
      <w:proofErr w:type="spellEnd"/>
      <w:r w:rsidR="00033728"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 has adopted the Local Authority Educational Visits Policy for risk assessing trips and visits and submits all risk assessments to the LA via the Evolve system. 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Further information to keep your children safe</w:t>
      </w:r>
    </w:p>
    <w:p w:rsidR="00033728" w:rsidRPr="00033728" w:rsidRDefault="00927F23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  <w:t xml:space="preserve">Please see the </w:t>
      </w:r>
      <w:bookmarkStart w:id="0" w:name="_GoBack"/>
      <w:bookmarkEnd w:id="0"/>
      <w:r w:rsidR="00033728" w:rsidRPr="00033728">
        <w:rPr>
          <w:rFonts w:ascii="Bradley Hand ITC" w:eastAsia="Times New Roman" w:hAnsi="Bradley Hand ITC" w:cs="Arial"/>
          <w:b/>
          <w:color w:val="0070C0"/>
          <w:sz w:val="32"/>
          <w:szCs w:val="32"/>
          <w:lang w:eastAsia="en-GB"/>
        </w:rPr>
        <w:t>blue links</w:t>
      </w:r>
      <w:r w:rsidR="00033728" w:rsidRPr="00033728"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  <w:t xml:space="preserve"> </w:t>
      </w:r>
      <w:r w:rsidR="00033728" w:rsidRPr="00033728"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  <w:t>below if you would like further information about sharing safe messages with your children.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</w:pPr>
      <w:hyperlink r:id="rId9" w:tooltip="NSPCC PANTS " w:history="1"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>NSPCC PANTS</w:t>
        </w:r>
      </w:hyperlink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</w:pPr>
      <w:hyperlink r:id="rId10" w:tooltip="Liverpool Safeguarding Children Board" w:history="1"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>Liverpool Safeguarding Children Board</w:t>
        </w:r>
      </w:hyperlink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Additional Information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Please follow the </w:t>
      </w:r>
      <w:r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blue links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below for further important safeguarding information.</w:t>
      </w:r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70C0"/>
          <w:sz w:val="32"/>
          <w:szCs w:val="32"/>
          <w:lang w:eastAsia="en-GB"/>
        </w:rPr>
      </w:pPr>
      <w:hyperlink r:id="rId11" w:tooltip="Keep in Children Safe in Education Part 1" w:history="1"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>Keep in Children Safe in Education Part 1</w:t>
        </w:r>
      </w:hyperlink>
    </w:p>
    <w:p w:rsidR="00033728" w:rsidRPr="00033728" w:rsidRDefault="00033728" w:rsidP="00033728">
      <w:pPr>
        <w:shd w:val="clear" w:color="auto" w:fill="FFFFFF"/>
        <w:spacing w:after="150" w:line="240" w:lineRule="auto"/>
        <w:rPr>
          <w:rFonts w:ascii="Bradley Hand ITC" w:eastAsia="Times New Roman" w:hAnsi="Bradley Hand ITC" w:cs="Arial"/>
          <w:color w:val="00B050"/>
          <w:sz w:val="32"/>
          <w:szCs w:val="32"/>
          <w:lang w:eastAsia="en-GB"/>
        </w:rPr>
      </w:pPr>
      <w:hyperlink r:id="rId12" w:tooltip="Guidance for Safer Working Practice" w:history="1">
        <w:r w:rsidRPr="00033728">
          <w:rPr>
            <w:rFonts w:ascii="Bradley Hand ITC" w:eastAsia="Times New Roman" w:hAnsi="Bradley Hand ITC" w:cs="Arial"/>
            <w:b/>
            <w:bCs/>
            <w:color w:val="0070C0"/>
            <w:sz w:val="32"/>
            <w:szCs w:val="32"/>
            <w:u w:val="single"/>
            <w:lang w:eastAsia="en-GB"/>
          </w:rPr>
          <w:t>Guidance for Safer Working Practice</w:t>
        </w:r>
      </w:hyperlink>
      <w:r w:rsidRPr="00033728">
        <w:rPr>
          <w:rFonts w:ascii="Bradley Hand ITC" w:eastAsia="Times New Roman" w:hAnsi="Bradley Hand ITC" w:cs="Arial"/>
          <w:b/>
          <w:bCs/>
          <w:color w:val="0070C0"/>
          <w:sz w:val="32"/>
          <w:szCs w:val="32"/>
          <w:lang w:eastAsia="en-GB"/>
        </w:rPr>
        <w:t xml:space="preserve"> - </w:t>
      </w:r>
      <w:r w:rsidRPr="00033728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>guidance for adults w</w:t>
      </w:r>
      <w:r w:rsidR="00927F23">
        <w:rPr>
          <w:rFonts w:ascii="Bradley Hand ITC" w:eastAsia="Times New Roman" w:hAnsi="Bradley Hand ITC" w:cs="Arial"/>
          <w:b/>
          <w:bCs/>
          <w:color w:val="00B050"/>
          <w:sz w:val="32"/>
          <w:szCs w:val="32"/>
          <w:lang w:eastAsia="en-GB"/>
        </w:rPr>
        <w:t xml:space="preserve">orking with children  </w:t>
      </w:r>
    </w:p>
    <w:p w:rsidR="00033728" w:rsidRPr="00644492" w:rsidRDefault="00033728">
      <w:pPr>
        <w:rPr>
          <w:rFonts w:ascii="Bradley Hand ITC" w:hAnsi="Bradley Hand ITC"/>
          <w:b/>
          <w:color w:val="00B050"/>
          <w:sz w:val="32"/>
          <w:szCs w:val="32"/>
          <w:lang w:val="en-US"/>
        </w:rPr>
      </w:pPr>
    </w:p>
    <w:sectPr w:rsidR="00033728" w:rsidRPr="006444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5240"/>
    <w:multiLevelType w:val="multilevel"/>
    <w:tmpl w:val="7024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AF279C"/>
    <w:multiLevelType w:val="multilevel"/>
    <w:tmpl w:val="7A8A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728"/>
    <w:rsid w:val="00033728"/>
    <w:rsid w:val="001509C4"/>
    <w:rsid w:val="003F584C"/>
    <w:rsid w:val="0043338D"/>
    <w:rsid w:val="00644492"/>
    <w:rsid w:val="008204C5"/>
    <w:rsid w:val="00927F23"/>
    <w:rsid w:val="00E669EA"/>
    <w:rsid w:val="00ED49C7"/>
    <w:rsid w:val="00F53425"/>
    <w:rsid w:val="00F6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1941F"/>
  <w15:chartTrackingRefBased/>
  <w15:docId w15:val="{2124FE6A-8CBD-49D2-9E04-D6DC54FE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8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oltonprimary.com/the-woolton-way/equality-objectiv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ooltonprimary.com/downloadfile/15600775" TargetMode="External"/><Relationship Id="rId12" Type="http://schemas.openxmlformats.org/officeDocument/2006/relationships/hyperlink" Target="https://www.wooltonprimary.com/downloadfile/156392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oltonprimary.com/downloadfile/15600696" TargetMode="External"/><Relationship Id="rId11" Type="http://schemas.openxmlformats.org/officeDocument/2006/relationships/hyperlink" Target="https://www.wooltonprimary.com/downloadfile/15600936" TargetMode="External"/><Relationship Id="rId5" Type="http://schemas.openxmlformats.org/officeDocument/2006/relationships/hyperlink" Target="https://www.wooltonprimary.com/downloadfile/13079907" TargetMode="External"/><Relationship Id="rId10" Type="http://schemas.openxmlformats.org/officeDocument/2006/relationships/hyperlink" Target="http://www.liverpoolscb.org/childre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pcc.org.uk/preventing-abuse/keeping-children-safe/underwear-ru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1</cp:revision>
  <dcterms:created xsi:type="dcterms:W3CDTF">2021-10-06T08:43:00Z</dcterms:created>
  <dcterms:modified xsi:type="dcterms:W3CDTF">2021-10-06T15:26:00Z</dcterms:modified>
</cp:coreProperties>
</file>